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51F" w:rsidRDefault="0067451F" w:rsidP="007B3FDF">
      <w:pPr>
        <w:jc w:val="both"/>
        <w:rPr>
          <w:b/>
          <w:bCs/>
          <w:sz w:val="24"/>
          <w:szCs w:val="24"/>
          <w:lang w:val="en-US"/>
        </w:rPr>
      </w:pPr>
    </w:p>
    <w:p w:rsidR="0067451F" w:rsidRDefault="0067451F" w:rsidP="007B3FDF">
      <w:pPr>
        <w:jc w:val="both"/>
        <w:rPr>
          <w:b/>
          <w:bCs/>
          <w:sz w:val="24"/>
          <w:szCs w:val="24"/>
          <w:lang w:val="en-US"/>
        </w:rPr>
      </w:pPr>
    </w:p>
    <w:p w:rsidR="0067451F" w:rsidRDefault="0067451F" w:rsidP="007B3FDF">
      <w:pPr>
        <w:jc w:val="both"/>
        <w:rPr>
          <w:b/>
          <w:bCs/>
          <w:sz w:val="24"/>
          <w:szCs w:val="24"/>
          <w:lang w:val="en-US"/>
        </w:rPr>
      </w:pPr>
    </w:p>
    <w:p w:rsidR="005250C0" w:rsidRDefault="005250C0" w:rsidP="007B3FDF">
      <w:pPr>
        <w:jc w:val="both"/>
        <w:rPr>
          <w:b/>
          <w:bCs/>
          <w:sz w:val="24"/>
          <w:szCs w:val="24"/>
          <w:lang w:val="en-US"/>
        </w:rPr>
      </w:pPr>
    </w:p>
    <w:p w:rsidR="0067451F" w:rsidRDefault="00A16DB2" w:rsidP="007B3FDF">
      <w:pPr>
        <w:jc w:val="both"/>
        <w:rPr>
          <w:b/>
          <w:bCs/>
          <w:sz w:val="24"/>
          <w:szCs w:val="24"/>
          <w:lang w:val="en-US"/>
        </w:rPr>
      </w:pPr>
      <w:r>
        <w:rPr>
          <w:b/>
          <w:bCs/>
          <w:sz w:val="24"/>
          <w:szCs w:val="24"/>
          <w:lang w:val="en-US"/>
        </w:rPr>
        <w:t>Date:</w:t>
      </w:r>
      <w:r>
        <w:rPr>
          <w:b/>
          <w:bCs/>
          <w:sz w:val="24"/>
          <w:szCs w:val="24"/>
          <w:lang w:val="en-US"/>
        </w:rPr>
        <w:tab/>
      </w:r>
      <w:r w:rsidR="008B3FA8">
        <w:rPr>
          <w:b/>
          <w:bCs/>
          <w:sz w:val="24"/>
          <w:szCs w:val="24"/>
          <w:lang w:val="en-US"/>
        </w:rPr>
        <w:t>2</w:t>
      </w:r>
      <w:r w:rsidR="00C96264">
        <w:rPr>
          <w:b/>
          <w:bCs/>
          <w:sz w:val="24"/>
          <w:szCs w:val="24"/>
          <w:lang w:val="en-US"/>
        </w:rPr>
        <w:t>6</w:t>
      </w:r>
      <w:r w:rsidR="008B3FA8">
        <w:rPr>
          <w:b/>
          <w:bCs/>
          <w:sz w:val="24"/>
          <w:szCs w:val="24"/>
          <w:lang w:val="en-US"/>
        </w:rPr>
        <w:t>.02.2020</w:t>
      </w:r>
    </w:p>
    <w:p w:rsidR="001E063C" w:rsidRPr="00BF262A" w:rsidRDefault="005019E8" w:rsidP="007B3FDF">
      <w:pPr>
        <w:jc w:val="both"/>
        <w:rPr>
          <w:b/>
          <w:bCs/>
          <w:sz w:val="24"/>
          <w:szCs w:val="24"/>
          <w:lang w:val="en-US"/>
        </w:rPr>
      </w:pPr>
      <w:r w:rsidRPr="00BF262A">
        <w:rPr>
          <w:b/>
          <w:bCs/>
          <w:sz w:val="24"/>
          <w:szCs w:val="24"/>
          <w:lang w:val="en-US"/>
        </w:rPr>
        <w:t>Directors Report</w:t>
      </w:r>
      <w:r w:rsidR="00E07592">
        <w:rPr>
          <w:rFonts w:hint="cs"/>
          <w:b/>
          <w:bCs/>
          <w:sz w:val="24"/>
          <w:szCs w:val="24"/>
          <w:rtl/>
          <w:lang w:val="en-US"/>
        </w:rPr>
        <w:t xml:space="preserve"> </w:t>
      </w:r>
      <w:r w:rsidR="00E07592">
        <w:rPr>
          <w:b/>
          <w:bCs/>
          <w:sz w:val="24"/>
          <w:szCs w:val="24"/>
          <w:rtl/>
          <w:lang w:val="en-US"/>
        </w:rPr>
        <w:t>–</w:t>
      </w:r>
      <w:r w:rsidR="00E07592">
        <w:rPr>
          <w:rFonts w:hint="cs"/>
          <w:b/>
          <w:bCs/>
          <w:sz w:val="24"/>
          <w:szCs w:val="24"/>
          <w:rtl/>
          <w:lang w:val="en-US"/>
        </w:rPr>
        <w:t xml:space="preserve"> </w:t>
      </w:r>
      <w:r w:rsidR="00E07592">
        <w:rPr>
          <w:b/>
          <w:bCs/>
          <w:sz w:val="24"/>
          <w:szCs w:val="24"/>
          <w:lang w:val="en-US"/>
        </w:rPr>
        <w:t>Year ended 31 December 2019</w:t>
      </w:r>
    </w:p>
    <w:p w:rsidR="005019E8" w:rsidRDefault="005019E8" w:rsidP="007B3FDF">
      <w:pPr>
        <w:jc w:val="both"/>
        <w:rPr>
          <w:lang w:val="en-US"/>
        </w:rPr>
      </w:pPr>
      <w:r>
        <w:rPr>
          <w:lang w:val="en-US"/>
        </w:rPr>
        <w:t xml:space="preserve">On behalf of the Board of Directors of United Arab Bank (UAB), I am privileged to present to </w:t>
      </w:r>
      <w:r w:rsidR="00770DCE">
        <w:rPr>
          <w:lang w:val="en-US"/>
        </w:rPr>
        <w:t>the shareholders</w:t>
      </w:r>
      <w:r w:rsidR="00B42E07">
        <w:rPr>
          <w:lang w:val="en-US"/>
        </w:rPr>
        <w:t xml:space="preserve"> of the Bank</w:t>
      </w:r>
      <w:r>
        <w:rPr>
          <w:lang w:val="en-US"/>
        </w:rPr>
        <w:t xml:space="preserve"> our Annual Report for the year ended 31</w:t>
      </w:r>
      <w:r w:rsidRPr="005019E8">
        <w:rPr>
          <w:vertAlign w:val="superscript"/>
          <w:lang w:val="en-US"/>
        </w:rPr>
        <w:t>st</w:t>
      </w:r>
      <w:r>
        <w:rPr>
          <w:lang w:val="en-US"/>
        </w:rPr>
        <w:t xml:space="preserve"> December 2019.</w:t>
      </w:r>
    </w:p>
    <w:p w:rsidR="005019E8" w:rsidRDefault="005019E8">
      <w:pPr>
        <w:jc w:val="both"/>
        <w:rPr>
          <w:lang w:val="en-US"/>
        </w:rPr>
      </w:pPr>
      <w:r>
        <w:rPr>
          <w:lang w:val="en-US"/>
        </w:rPr>
        <w:t>Much has been achieved in the last 12 months.  We have substantially strengthened our Balance Sheet, focus</w:t>
      </w:r>
      <w:r w:rsidR="009277A8">
        <w:rPr>
          <w:lang w:val="en-US"/>
        </w:rPr>
        <w:t>ing</w:t>
      </w:r>
      <w:r>
        <w:rPr>
          <w:lang w:val="en-US"/>
        </w:rPr>
        <w:t xml:space="preserve"> on our core business</w:t>
      </w:r>
      <w:r w:rsidR="009277A8">
        <w:rPr>
          <w:lang w:val="en-US"/>
        </w:rPr>
        <w:t>es</w:t>
      </w:r>
      <w:r>
        <w:rPr>
          <w:lang w:val="en-US"/>
        </w:rPr>
        <w:t xml:space="preserve"> and </w:t>
      </w:r>
      <w:r w:rsidR="009277A8">
        <w:rPr>
          <w:lang w:val="en-US"/>
        </w:rPr>
        <w:t>undertaken cost optimization as we continue to position the Bank for future growth</w:t>
      </w:r>
      <w:r>
        <w:rPr>
          <w:lang w:val="en-US"/>
        </w:rPr>
        <w:t>.</w:t>
      </w:r>
    </w:p>
    <w:p w:rsidR="005019E8" w:rsidRDefault="005019E8">
      <w:pPr>
        <w:jc w:val="both"/>
        <w:rPr>
          <w:lang w:val="en-US"/>
        </w:rPr>
      </w:pPr>
      <w:r>
        <w:rPr>
          <w:lang w:val="en-US"/>
        </w:rPr>
        <w:t>In 2019, the Bank has recog</w:t>
      </w:r>
      <w:r w:rsidR="0028792A">
        <w:rPr>
          <w:lang w:val="en-US"/>
        </w:rPr>
        <w:t>nized total provisions of AED701</w:t>
      </w:r>
      <w:r>
        <w:rPr>
          <w:lang w:val="en-US"/>
        </w:rPr>
        <w:t xml:space="preserve">m which include </w:t>
      </w:r>
      <w:r w:rsidR="009277A8">
        <w:rPr>
          <w:lang w:val="en-US"/>
        </w:rPr>
        <w:t>significant</w:t>
      </w:r>
      <w:r>
        <w:rPr>
          <w:lang w:val="en-US"/>
        </w:rPr>
        <w:t xml:space="preserve"> charge</w:t>
      </w:r>
      <w:r w:rsidR="00C50034">
        <w:rPr>
          <w:lang w:val="en-US"/>
        </w:rPr>
        <w:t>s</w:t>
      </w:r>
      <w:r>
        <w:rPr>
          <w:lang w:val="en-US"/>
        </w:rPr>
        <w:t xml:space="preserve"> necessary to address legacy issues; consequently, UAB’s full year financial results have been impacted with the Ba</w:t>
      </w:r>
      <w:r w:rsidR="0028792A">
        <w:rPr>
          <w:lang w:val="en-US"/>
        </w:rPr>
        <w:t>nk reporting a Net Loss of AED47</w:t>
      </w:r>
      <w:r>
        <w:rPr>
          <w:lang w:val="en-US"/>
        </w:rPr>
        <w:t>1m.</w:t>
      </w:r>
    </w:p>
    <w:p w:rsidR="002E0A09" w:rsidRDefault="005019E8">
      <w:pPr>
        <w:jc w:val="both"/>
        <w:rPr>
          <w:lang w:val="en-US"/>
        </w:rPr>
      </w:pPr>
      <w:r>
        <w:rPr>
          <w:lang w:val="en-US"/>
        </w:rPr>
        <w:t xml:space="preserve">The Board and Management Team remain fully committed </w:t>
      </w:r>
      <w:r w:rsidR="002E0A09">
        <w:rPr>
          <w:lang w:val="en-US"/>
        </w:rPr>
        <w:t xml:space="preserve">to the Bank and ultimately generate sustainable returns </w:t>
      </w:r>
      <w:r w:rsidR="009277A8">
        <w:rPr>
          <w:lang w:val="en-US"/>
        </w:rPr>
        <w:t xml:space="preserve">on a consistent basis </w:t>
      </w:r>
      <w:r w:rsidR="002E0A09">
        <w:rPr>
          <w:lang w:val="en-US"/>
        </w:rPr>
        <w:t>for shareholders over the medium term.</w:t>
      </w:r>
    </w:p>
    <w:p w:rsidR="002E0A09" w:rsidRDefault="002E0A09">
      <w:pPr>
        <w:jc w:val="both"/>
        <w:rPr>
          <w:lang w:val="en-US"/>
        </w:rPr>
      </w:pPr>
      <w:r>
        <w:rPr>
          <w:lang w:val="en-US"/>
        </w:rPr>
        <w:t>The Board of Directors recommend the following appropriations for the year ended 31 December 2019:</w:t>
      </w:r>
    </w:p>
    <w:tbl>
      <w:tblPr>
        <w:tblW w:w="7336" w:type="dxa"/>
        <w:tblLook w:val="04A0" w:firstRow="1" w:lastRow="0" w:firstColumn="1" w:lastColumn="0" w:noHBand="0" w:noVBand="1"/>
      </w:tblPr>
      <w:tblGrid>
        <w:gridCol w:w="5800"/>
        <w:gridCol w:w="1300"/>
        <w:gridCol w:w="1079"/>
      </w:tblGrid>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 </w:t>
            </w:r>
          </w:p>
        </w:tc>
        <w:tc>
          <w:tcPr>
            <w:tcW w:w="1300" w:type="dxa"/>
            <w:tcBorders>
              <w:top w:val="nil"/>
              <w:left w:val="nil"/>
              <w:bottom w:val="nil"/>
              <w:right w:val="nil"/>
            </w:tcBorders>
            <w:shd w:val="clear" w:color="000000" w:fill="1F4E78"/>
            <w:noWrap/>
            <w:vAlign w:val="bottom"/>
            <w:hideMark/>
          </w:tcPr>
          <w:p w:rsidR="0028792A" w:rsidRPr="0028792A" w:rsidRDefault="0028792A" w:rsidP="00E07592">
            <w:pPr>
              <w:spacing w:after="0" w:line="240" w:lineRule="auto"/>
              <w:jc w:val="center"/>
              <w:rPr>
                <w:rFonts w:ascii="Calibri" w:eastAsia="Times New Roman" w:hAnsi="Calibri" w:cs="Times New Roman"/>
                <w:b/>
                <w:bCs/>
                <w:color w:val="FFFFFF"/>
                <w:lang w:val="en-US"/>
              </w:rPr>
            </w:pPr>
            <w:r w:rsidRPr="0028792A">
              <w:rPr>
                <w:rFonts w:ascii="Calibri" w:eastAsia="Times New Roman" w:hAnsi="Calibri" w:cs="Times New Roman"/>
                <w:b/>
                <w:bCs/>
                <w:color w:val="FFFFFF"/>
                <w:lang w:val="en-US"/>
              </w:rPr>
              <w:t>2018</w:t>
            </w:r>
          </w:p>
        </w:tc>
        <w:tc>
          <w:tcPr>
            <w:tcW w:w="236" w:type="dxa"/>
            <w:tcBorders>
              <w:top w:val="nil"/>
              <w:left w:val="nil"/>
              <w:bottom w:val="nil"/>
              <w:right w:val="nil"/>
            </w:tcBorders>
            <w:shd w:val="clear" w:color="000000" w:fill="1F4E78"/>
            <w:noWrap/>
            <w:vAlign w:val="bottom"/>
            <w:hideMark/>
          </w:tcPr>
          <w:p w:rsidR="0028792A" w:rsidRPr="0028792A" w:rsidRDefault="0028792A" w:rsidP="00E07592">
            <w:pPr>
              <w:spacing w:after="0" w:line="240" w:lineRule="auto"/>
              <w:jc w:val="center"/>
              <w:rPr>
                <w:rFonts w:ascii="Calibri" w:eastAsia="Times New Roman" w:hAnsi="Calibri" w:cs="Times New Roman"/>
                <w:b/>
                <w:bCs/>
                <w:color w:val="FFFFFF"/>
                <w:lang w:val="en-US"/>
              </w:rPr>
            </w:pPr>
            <w:r w:rsidRPr="0028792A">
              <w:rPr>
                <w:rFonts w:ascii="Calibri" w:eastAsia="Times New Roman" w:hAnsi="Calibri" w:cs="Times New Roman"/>
                <w:b/>
                <w:bCs/>
                <w:color w:val="FFFFFF"/>
                <w:lang w:val="en-US"/>
              </w:rPr>
              <w:t>2019</w:t>
            </w:r>
          </w:p>
        </w:tc>
      </w:tr>
      <w:tr w:rsidR="006863AB" w:rsidRPr="0028792A" w:rsidTr="00E07592">
        <w:trPr>
          <w:trHeight w:val="300"/>
        </w:trPr>
        <w:tc>
          <w:tcPr>
            <w:tcW w:w="5800" w:type="dxa"/>
            <w:tcBorders>
              <w:top w:val="nil"/>
              <w:left w:val="nil"/>
              <w:bottom w:val="nil"/>
              <w:right w:val="nil"/>
            </w:tcBorders>
            <w:shd w:val="clear" w:color="000000" w:fill="FFFFFF"/>
            <w:noWrap/>
            <w:vAlign w:val="bottom"/>
          </w:tcPr>
          <w:p w:rsidR="006863AB" w:rsidRPr="0028792A" w:rsidRDefault="006863AB">
            <w:pPr>
              <w:spacing w:after="0" w:line="240" w:lineRule="auto"/>
              <w:jc w:val="both"/>
              <w:rPr>
                <w:rFonts w:ascii="Calibri" w:eastAsia="Times New Roman" w:hAnsi="Calibri" w:cs="Times New Roman"/>
                <w:color w:val="000000"/>
                <w:lang w:val="en-US"/>
              </w:rPr>
            </w:pPr>
          </w:p>
        </w:tc>
        <w:tc>
          <w:tcPr>
            <w:tcW w:w="1300" w:type="dxa"/>
            <w:tcBorders>
              <w:top w:val="nil"/>
              <w:left w:val="nil"/>
              <w:bottom w:val="nil"/>
              <w:right w:val="nil"/>
            </w:tcBorders>
            <w:shd w:val="clear" w:color="000000" w:fill="1F4E78"/>
            <w:noWrap/>
            <w:vAlign w:val="bottom"/>
          </w:tcPr>
          <w:p w:rsidR="006863AB" w:rsidRPr="0028792A" w:rsidRDefault="006863AB" w:rsidP="00E07592">
            <w:pPr>
              <w:spacing w:after="0" w:line="240" w:lineRule="auto"/>
              <w:jc w:val="center"/>
              <w:rPr>
                <w:rFonts w:ascii="Calibri" w:eastAsia="Times New Roman" w:hAnsi="Calibri" w:cs="Times New Roman"/>
                <w:b/>
                <w:bCs/>
                <w:color w:val="FFFFFF"/>
                <w:lang w:val="en-US"/>
              </w:rPr>
            </w:pPr>
            <w:r>
              <w:rPr>
                <w:rFonts w:ascii="Calibri" w:eastAsia="Times New Roman" w:hAnsi="Calibri" w:cs="Times New Roman"/>
                <w:b/>
                <w:bCs/>
                <w:color w:val="FFFFFF"/>
                <w:lang w:val="en-US"/>
              </w:rPr>
              <w:t>AED’000</w:t>
            </w:r>
          </w:p>
        </w:tc>
        <w:tc>
          <w:tcPr>
            <w:tcW w:w="236" w:type="dxa"/>
            <w:tcBorders>
              <w:top w:val="nil"/>
              <w:left w:val="nil"/>
              <w:bottom w:val="nil"/>
              <w:right w:val="nil"/>
            </w:tcBorders>
            <w:shd w:val="clear" w:color="000000" w:fill="1F4E78"/>
            <w:noWrap/>
            <w:vAlign w:val="bottom"/>
          </w:tcPr>
          <w:p w:rsidR="006863AB" w:rsidRPr="0028792A" w:rsidRDefault="006863AB" w:rsidP="00E07592">
            <w:pPr>
              <w:spacing w:after="0" w:line="240" w:lineRule="auto"/>
              <w:jc w:val="center"/>
              <w:rPr>
                <w:rFonts w:ascii="Calibri" w:eastAsia="Times New Roman" w:hAnsi="Calibri" w:cs="Times New Roman"/>
                <w:b/>
                <w:bCs/>
                <w:color w:val="FFFFFF"/>
                <w:lang w:val="en-US"/>
              </w:rPr>
            </w:pPr>
            <w:r>
              <w:rPr>
                <w:rFonts w:ascii="Calibri" w:eastAsia="Times New Roman" w:hAnsi="Calibri" w:cs="Times New Roman"/>
                <w:b/>
                <w:bCs/>
                <w:color w:val="FFFFFF"/>
                <w:lang w:val="en-US"/>
              </w:rPr>
              <w:t>AED’000</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b/>
                <w:bCs/>
                <w:color w:val="000000"/>
                <w:lang w:val="en-US"/>
              </w:rPr>
            </w:pPr>
            <w:r w:rsidRPr="0028792A">
              <w:rPr>
                <w:rFonts w:ascii="Calibri" w:eastAsia="Times New Roman" w:hAnsi="Calibri" w:cs="Times New Roman"/>
                <w:b/>
                <w:bCs/>
                <w:color w:val="000000"/>
                <w:lang w:val="en-US"/>
              </w:rPr>
              <w:t>Opening balance in Accumulated Losses at 1 January</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b/>
                <w:bCs/>
                <w:color w:val="000000"/>
                <w:lang w:val="en-US"/>
              </w:rPr>
            </w:pPr>
            <w:r w:rsidRPr="0028792A">
              <w:rPr>
                <w:rFonts w:ascii="Calibri" w:eastAsia="Times New Roman" w:hAnsi="Calibri" w:cs="Times New Roman"/>
                <w:b/>
                <w:bCs/>
                <w:color w:val="000000"/>
                <w:lang w:val="en-US"/>
              </w:rPr>
              <w:t>(153,940)</w:t>
            </w: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b/>
                <w:bCs/>
                <w:color w:val="000000"/>
                <w:lang w:val="en-US"/>
              </w:rPr>
            </w:pPr>
            <w:r w:rsidRPr="0028792A">
              <w:rPr>
                <w:rFonts w:ascii="Calibri" w:eastAsia="Times New Roman" w:hAnsi="Calibri" w:cs="Times New Roman"/>
                <w:b/>
                <w:bCs/>
                <w:color w:val="000000"/>
                <w:lang w:val="en-US"/>
              </w:rPr>
              <w:t>(426,926)</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Impact of adopting IFRS 9 at 1 January 2018</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(330,119)</w:t>
            </w:r>
          </w:p>
        </w:tc>
        <w:tc>
          <w:tcPr>
            <w:tcW w:w="236" w:type="dxa"/>
            <w:tcBorders>
              <w:top w:val="nil"/>
              <w:left w:val="nil"/>
              <w:bottom w:val="nil"/>
              <w:right w:val="nil"/>
            </w:tcBorders>
            <w:shd w:val="clear" w:color="000000" w:fill="FFFFFF"/>
            <w:noWrap/>
            <w:vAlign w:val="bottom"/>
            <w:hideMark/>
          </w:tcPr>
          <w:p w:rsidR="0028792A" w:rsidRPr="0028792A" w:rsidRDefault="009277A8" w:rsidP="00E07592">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N/a</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Restated balance in Accumulated Losses at 1 January</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(484,059)</w:t>
            </w: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(426,926)</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4822E1">
            <w:pPr>
              <w:spacing w:after="0" w:line="240" w:lineRule="auto"/>
              <w:jc w:val="both"/>
              <w:rPr>
                <w:rFonts w:ascii="Calibri" w:eastAsia="Times New Roman" w:hAnsi="Calibri" w:cs="Times New Roman"/>
                <w:color w:val="000000"/>
                <w:lang w:val="en-US"/>
              </w:rPr>
            </w:pPr>
            <w:r>
              <w:rPr>
                <w:rFonts w:ascii="Calibri" w:eastAsia="Times New Roman" w:hAnsi="Calibri" w:cs="Times New Roman"/>
                <w:color w:val="000000"/>
                <w:lang w:val="en-US"/>
              </w:rPr>
              <w:t>Profit / (Loss)</w:t>
            </w:r>
            <w:r w:rsidR="0028792A" w:rsidRPr="0028792A">
              <w:rPr>
                <w:rFonts w:ascii="Calibri" w:eastAsia="Times New Roman" w:hAnsi="Calibri" w:cs="Times New Roman"/>
                <w:color w:val="000000"/>
                <w:lang w:val="en-US"/>
              </w:rPr>
              <w:t xml:space="preserve"> for the year</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77,227</w:t>
            </w:r>
          </w:p>
        </w:tc>
        <w:tc>
          <w:tcPr>
            <w:tcW w:w="236" w:type="dxa"/>
            <w:tcBorders>
              <w:top w:val="nil"/>
              <w:left w:val="nil"/>
              <w:bottom w:val="nil"/>
              <w:right w:val="nil"/>
            </w:tcBorders>
            <w:shd w:val="clear" w:color="000000" w:fill="FFFFFF"/>
            <w:noWrap/>
            <w:vAlign w:val="bottom"/>
            <w:hideMark/>
          </w:tcPr>
          <w:p w:rsidR="0028792A" w:rsidRPr="00DD7629" w:rsidRDefault="0028792A" w:rsidP="00E07592">
            <w:pPr>
              <w:spacing w:after="0" w:line="240" w:lineRule="auto"/>
              <w:jc w:val="center"/>
              <w:rPr>
                <w:rFonts w:ascii="Calibri" w:eastAsia="Times New Roman" w:hAnsi="Calibri" w:cs="Times New Roman"/>
                <w:color w:val="000000"/>
                <w:lang w:val="en-US"/>
              </w:rPr>
            </w:pPr>
            <w:r w:rsidRPr="00DD7629">
              <w:rPr>
                <w:rFonts w:ascii="Calibri" w:eastAsia="Times New Roman" w:hAnsi="Calibri" w:cs="Times New Roman"/>
                <w:color w:val="000000"/>
                <w:lang w:val="en-US"/>
              </w:rPr>
              <w:t>(470,753)</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Transfers from revaluation reserve</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39</w:t>
            </w: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38</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Rights issue cost</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(2,216)</w:t>
            </w: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(222)</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Loss on sale of equity reclassified from changes in fair value</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(2,471)</w:t>
            </w: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0</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 </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p>
        </w:tc>
      </w:tr>
      <w:tr w:rsidR="0028792A" w:rsidRPr="00AF10FF"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Balance available for appropriation</w:t>
            </w:r>
          </w:p>
        </w:tc>
        <w:tc>
          <w:tcPr>
            <w:tcW w:w="1300" w:type="dxa"/>
            <w:tcBorders>
              <w:top w:val="single" w:sz="4" w:space="0" w:color="auto"/>
              <w:left w:val="nil"/>
              <w:bottom w:val="single" w:sz="4" w:space="0" w:color="auto"/>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b/>
                <w:bCs/>
                <w:color w:val="000000"/>
                <w:lang w:val="en-US"/>
              </w:rPr>
            </w:pPr>
            <w:r w:rsidRPr="0028792A">
              <w:rPr>
                <w:rFonts w:ascii="Calibri" w:eastAsia="Times New Roman" w:hAnsi="Calibri" w:cs="Times New Roman"/>
                <w:b/>
                <w:bCs/>
                <w:color w:val="000000"/>
                <w:lang w:val="en-US"/>
              </w:rPr>
              <w:t>(411,480)</w:t>
            </w:r>
          </w:p>
        </w:tc>
        <w:tc>
          <w:tcPr>
            <w:tcW w:w="236" w:type="dxa"/>
            <w:tcBorders>
              <w:top w:val="single" w:sz="4" w:space="0" w:color="auto"/>
              <w:left w:val="nil"/>
              <w:bottom w:val="single" w:sz="4" w:space="0" w:color="auto"/>
              <w:right w:val="nil"/>
            </w:tcBorders>
            <w:shd w:val="clear" w:color="000000" w:fill="FFFFFF"/>
            <w:noWrap/>
            <w:vAlign w:val="bottom"/>
            <w:hideMark/>
          </w:tcPr>
          <w:p w:rsidR="0028792A" w:rsidRPr="00E07592" w:rsidRDefault="0028792A" w:rsidP="00E07592">
            <w:pPr>
              <w:spacing w:after="0" w:line="240" w:lineRule="auto"/>
              <w:jc w:val="center"/>
              <w:rPr>
                <w:rFonts w:ascii="Calibri" w:eastAsia="Times New Roman" w:hAnsi="Calibri" w:cs="Times New Roman"/>
                <w:b/>
                <w:bCs/>
                <w:color w:val="000000"/>
                <w:highlight w:val="green"/>
                <w:lang w:val="en-US"/>
              </w:rPr>
            </w:pPr>
            <w:r w:rsidRPr="00DD7629">
              <w:rPr>
                <w:rFonts w:ascii="Calibri" w:eastAsia="Times New Roman" w:hAnsi="Calibri" w:cs="Times New Roman"/>
                <w:b/>
                <w:bCs/>
                <w:color w:val="000000"/>
                <w:lang w:val="en-US"/>
              </w:rPr>
              <w:t>(897,863)</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 </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Transfer to Special Reserve</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(7,723)</w:t>
            </w: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0</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Transfer to Statutory Reserve</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(7,723)</w:t>
            </w: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0</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Director's remuneration</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0</w:t>
            </w: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r w:rsidRPr="0028792A">
              <w:rPr>
                <w:rFonts w:ascii="Calibri" w:eastAsia="Times New Roman" w:hAnsi="Calibri" w:cs="Times New Roman"/>
                <w:color w:val="000000"/>
                <w:lang w:val="en-US"/>
              </w:rPr>
              <w:t>0</w:t>
            </w: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color w:val="000000"/>
                <w:lang w:val="en-US"/>
              </w:rPr>
            </w:pPr>
            <w:r w:rsidRPr="0028792A">
              <w:rPr>
                <w:rFonts w:ascii="Calibri" w:eastAsia="Times New Roman" w:hAnsi="Calibri" w:cs="Times New Roman"/>
                <w:color w:val="000000"/>
                <w:lang w:val="en-US"/>
              </w:rPr>
              <w:t> </w:t>
            </w:r>
          </w:p>
        </w:tc>
        <w:tc>
          <w:tcPr>
            <w:tcW w:w="1300"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p>
        </w:tc>
        <w:tc>
          <w:tcPr>
            <w:tcW w:w="236" w:type="dxa"/>
            <w:tcBorders>
              <w:top w:val="nil"/>
              <w:left w:val="nil"/>
              <w:bottom w:val="nil"/>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color w:val="000000"/>
                <w:lang w:val="en-US"/>
              </w:rPr>
            </w:pPr>
          </w:p>
        </w:tc>
      </w:tr>
      <w:tr w:rsidR="0028792A" w:rsidRPr="0028792A" w:rsidTr="00E07592">
        <w:trPr>
          <w:trHeight w:val="300"/>
        </w:trPr>
        <w:tc>
          <w:tcPr>
            <w:tcW w:w="5800" w:type="dxa"/>
            <w:tcBorders>
              <w:top w:val="nil"/>
              <w:left w:val="nil"/>
              <w:bottom w:val="nil"/>
              <w:right w:val="nil"/>
            </w:tcBorders>
            <w:shd w:val="clear" w:color="000000" w:fill="FFFFFF"/>
            <w:noWrap/>
            <w:vAlign w:val="bottom"/>
            <w:hideMark/>
          </w:tcPr>
          <w:p w:rsidR="0028792A" w:rsidRPr="0028792A" w:rsidRDefault="0028792A">
            <w:pPr>
              <w:spacing w:after="0" w:line="240" w:lineRule="auto"/>
              <w:jc w:val="both"/>
              <w:rPr>
                <w:rFonts w:ascii="Calibri" w:eastAsia="Times New Roman" w:hAnsi="Calibri" w:cs="Times New Roman"/>
                <w:b/>
                <w:bCs/>
                <w:color w:val="000000"/>
                <w:lang w:val="en-US"/>
              </w:rPr>
            </w:pPr>
            <w:r w:rsidRPr="0028792A">
              <w:rPr>
                <w:rFonts w:ascii="Calibri" w:eastAsia="Times New Roman" w:hAnsi="Calibri" w:cs="Times New Roman"/>
                <w:b/>
                <w:bCs/>
                <w:color w:val="000000"/>
                <w:lang w:val="en-US"/>
              </w:rPr>
              <w:t>Closing balance in Accumulated Losses at 31 December</w:t>
            </w:r>
          </w:p>
        </w:tc>
        <w:tc>
          <w:tcPr>
            <w:tcW w:w="1300" w:type="dxa"/>
            <w:tcBorders>
              <w:top w:val="single" w:sz="4" w:space="0" w:color="auto"/>
              <w:left w:val="nil"/>
              <w:bottom w:val="single" w:sz="4" w:space="0" w:color="auto"/>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b/>
                <w:bCs/>
                <w:color w:val="000000"/>
                <w:lang w:val="en-US"/>
              </w:rPr>
            </w:pPr>
            <w:r w:rsidRPr="0028792A">
              <w:rPr>
                <w:rFonts w:ascii="Calibri" w:eastAsia="Times New Roman" w:hAnsi="Calibri" w:cs="Times New Roman"/>
                <w:b/>
                <w:bCs/>
                <w:color w:val="000000"/>
                <w:lang w:val="en-US"/>
              </w:rPr>
              <w:t>(426,926)</w:t>
            </w:r>
          </w:p>
        </w:tc>
        <w:tc>
          <w:tcPr>
            <w:tcW w:w="236" w:type="dxa"/>
            <w:tcBorders>
              <w:top w:val="single" w:sz="4" w:space="0" w:color="auto"/>
              <w:left w:val="nil"/>
              <w:bottom w:val="single" w:sz="4" w:space="0" w:color="auto"/>
              <w:right w:val="nil"/>
            </w:tcBorders>
            <w:shd w:val="clear" w:color="000000" w:fill="FFFFFF"/>
            <w:noWrap/>
            <w:vAlign w:val="bottom"/>
            <w:hideMark/>
          </w:tcPr>
          <w:p w:rsidR="0028792A" w:rsidRPr="0028792A" w:rsidRDefault="0028792A" w:rsidP="00E07592">
            <w:pPr>
              <w:spacing w:after="0" w:line="240" w:lineRule="auto"/>
              <w:jc w:val="center"/>
              <w:rPr>
                <w:rFonts w:ascii="Calibri" w:eastAsia="Times New Roman" w:hAnsi="Calibri" w:cs="Times New Roman"/>
                <w:b/>
                <w:bCs/>
                <w:color w:val="000000"/>
                <w:lang w:val="en-US"/>
              </w:rPr>
            </w:pPr>
            <w:r w:rsidRPr="00DD7629">
              <w:rPr>
                <w:rFonts w:ascii="Calibri" w:eastAsia="Times New Roman" w:hAnsi="Calibri" w:cs="Times New Roman"/>
                <w:b/>
                <w:bCs/>
                <w:color w:val="000000"/>
                <w:lang w:val="en-US"/>
              </w:rPr>
              <w:t>(897,863)</w:t>
            </w:r>
          </w:p>
        </w:tc>
      </w:tr>
    </w:tbl>
    <w:p w:rsidR="002E0A09" w:rsidRDefault="002E0A09">
      <w:pPr>
        <w:jc w:val="both"/>
        <w:rPr>
          <w:lang w:val="en-US"/>
        </w:rPr>
      </w:pPr>
    </w:p>
    <w:p w:rsidR="002E0A09" w:rsidRDefault="002E0A09">
      <w:pPr>
        <w:jc w:val="both"/>
        <w:rPr>
          <w:lang w:val="en-US"/>
        </w:rPr>
      </w:pPr>
    </w:p>
    <w:p w:rsidR="00704EDD" w:rsidRDefault="00704EDD">
      <w:pPr>
        <w:jc w:val="both"/>
        <w:rPr>
          <w:lang w:val="en-US"/>
        </w:rPr>
      </w:pPr>
    </w:p>
    <w:p w:rsidR="00704EDD" w:rsidRDefault="00704EDD">
      <w:pPr>
        <w:jc w:val="both"/>
        <w:rPr>
          <w:lang w:val="en-US"/>
        </w:rPr>
      </w:pPr>
    </w:p>
    <w:p w:rsidR="00704EDD" w:rsidRDefault="00704EDD">
      <w:pPr>
        <w:jc w:val="both"/>
        <w:rPr>
          <w:lang w:val="en-US"/>
        </w:rPr>
      </w:pPr>
    </w:p>
    <w:p w:rsidR="005019E8" w:rsidRDefault="002E0A09">
      <w:pPr>
        <w:jc w:val="both"/>
        <w:rPr>
          <w:lang w:val="en-US"/>
        </w:rPr>
      </w:pPr>
      <w:r>
        <w:rPr>
          <w:lang w:val="en-US"/>
        </w:rPr>
        <w:t>After the proposed appropriation</w:t>
      </w:r>
      <w:r w:rsidR="009277A8">
        <w:rPr>
          <w:lang w:val="en-US"/>
        </w:rPr>
        <w:t>s</w:t>
      </w:r>
      <w:r>
        <w:rPr>
          <w:lang w:val="en-US"/>
        </w:rPr>
        <w:t>, and subject to the General Assembly’s approval, total Shareholders</w:t>
      </w:r>
      <w:r w:rsidR="0028792A">
        <w:rPr>
          <w:lang w:val="en-US"/>
        </w:rPr>
        <w:t xml:space="preserve">’ funds will decrease to </w:t>
      </w:r>
      <w:r w:rsidR="00040161">
        <w:rPr>
          <w:lang w:val="en-US"/>
        </w:rPr>
        <w:t>AED2,160m</w:t>
      </w:r>
      <w:r w:rsidR="0000004E">
        <w:rPr>
          <w:lang w:val="en-US"/>
        </w:rPr>
        <w:t xml:space="preserve"> </w:t>
      </w:r>
      <w:r>
        <w:rPr>
          <w:lang w:val="en-US"/>
        </w:rPr>
        <w:t>at 31 December 2019 compared to AED2,529</w:t>
      </w:r>
      <w:r w:rsidR="0000004E">
        <w:rPr>
          <w:lang w:val="en-US"/>
        </w:rPr>
        <w:t>m</w:t>
      </w:r>
      <w:r>
        <w:rPr>
          <w:lang w:val="en-US"/>
        </w:rPr>
        <w:t xml:space="preserve"> at the end of 2018.  The Directors</w:t>
      </w:r>
      <w:r w:rsidR="009277A8">
        <w:rPr>
          <w:lang w:val="en-US"/>
        </w:rPr>
        <w:t>’</w:t>
      </w:r>
      <w:r>
        <w:rPr>
          <w:lang w:val="en-US"/>
        </w:rPr>
        <w:t xml:space="preserve"> propose no dividend </w:t>
      </w:r>
      <w:r w:rsidR="009277A8">
        <w:rPr>
          <w:lang w:val="en-US"/>
        </w:rPr>
        <w:t xml:space="preserve">distribution </w:t>
      </w:r>
      <w:r>
        <w:rPr>
          <w:lang w:val="en-US"/>
        </w:rPr>
        <w:t>for the year 2019.</w:t>
      </w:r>
    </w:p>
    <w:p w:rsidR="006C4BDA" w:rsidRDefault="006C4BDA">
      <w:pPr>
        <w:jc w:val="both"/>
        <w:rPr>
          <w:lang w:val="en-US"/>
        </w:rPr>
      </w:pPr>
      <w:r>
        <w:rPr>
          <w:lang w:val="en-US"/>
        </w:rPr>
        <w:t xml:space="preserve">To the best of </w:t>
      </w:r>
      <w:r w:rsidR="00DD622D">
        <w:rPr>
          <w:lang w:val="en-US"/>
        </w:rPr>
        <w:t>our</w:t>
      </w:r>
      <w:bookmarkStart w:id="0" w:name="_GoBack"/>
      <w:bookmarkEnd w:id="0"/>
      <w:r w:rsidR="008F258E">
        <w:rPr>
          <w:lang w:val="en-US"/>
        </w:rPr>
        <w:t xml:space="preserve"> </w:t>
      </w:r>
      <w:r>
        <w:rPr>
          <w:lang w:val="en-US"/>
        </w:rPr>
        <w:t xml:space="preserve">knowledge, the financial information included in the report fairly presents in all material respects the financial condition, results of operation and cash flows of the Bank as of, and for, the periods presented in the </w:t>
      </w:r>
      <w:r w:rsidR="001973A2">
        <w:rPr>
          <w:lang w:val="en-US"/>
        </w:rPr>
        <w:t xml:space="preserve">accompanied </w:t>
      </w:r>
      <w:r w:rsidR="008F258E">
        <w:rPr>
          <w:lang w:val="en-US"/>
        </w:rPr>
        <w:t>financial statements for the year ended 31 December 2019</w:t>
      </w:r>
      <w:r>
        <w:rPr>
          <w:lang w:val="en-US"/>
        </w:rPr>
        <w:t>.</w:t>
      </w:r>
    </w:p>
    <w:p w:rsidR="002E0A09" w:rsidRDefault="002E0A09">
      <w:pPr>
        <w:jc w:val="both"/>
        <w:rPr>
          <w:lang w:val="en-US"/>
        </w:rPr>
      </w:pPr>
      <w:r>
        <w:rPr>
          <w:lang w:val="en-US"/>
        </w:rPr>
        <w:t>On behalf of the Board of Directors whose unwavering commitment and guidance remain invaluable, my sincere appreciation goes to our valued customers and shareholders for their patronage, the top management and the employees for their commitment and dedication, and to the Central Bank of UAE for regulating and supporting the UAE banking sector.</w:t>
      </w:r>
    </w:p>
    <w:p w:rsidR="008D2FA7" w:rsidRDefault="002E0A09">
      <w:pPr>
        <w:jc w:val="both"/>
        <w:rPr>
          <w:lang w:val="en-US"/>
        </w:rPr>
      </w:pPr>
      <w:r>
        <w:rPr>
          <w:lang w:val="en-US"/>
        </w:rPr>
        <w:t xml:space="preserve">In conclusion, we wish to express our appreciation to the President of the United Arab Emirates, His Highness Sheikh Khalifa </w:t>
      </w:r>
      <w:r w:rsidR="00AE5F8B">
        <w:rPr>
          <w:lang w:val="en-US"/>
        </w:rPr>
        <w:t>Bin Zayed Al Nahyan for hi</w:t>
      </w:r>
      <w:r w:rsidR="008D2FA7">
        <w:rPr>
          <w:lang w:val="en-US"/>
        </w:rPr>
        <w:t>s leadership, vision and support.  We also wish to thank His Highness Sheikh Mohammed Bin Rashid Al Maktoum, UAE Vice President, Prime Minister and Ruler of Dubai, His Highness Sheikh General Sheikh Mohammed Bin Zayed Al Nahyan, Crown Prince of Abu Dhabi and Deputy Supreme Commander of the UAE Armed Forces and His Highness Sheikh Dr. Sultan Bin Mohammed Al Qassimi, Ruler of Sharjah for their support and guidance.</w:t>
      </w:r>
    </w:p>
    <w:p w:rsidR="008D2FA7" w:rsidRDefault="008D2FA7">
      <w:pPr>
        <w:jc w:val="both"/>
        <w:rPr>
          <w:lang w:val="en-US"/>
        </w:rPr>
      </w:pPr>
    </w:p>
    <w:p w:rsidR="0067451F" w:rsidRDefault="0067451F">
      <w:pPr>
        <w:jc w:val="both"/>
        <w:rPr>
          <w:lang w:val="en-US"/>
        </w:rPr>
      </w:pPr>
    </w:p>
    <w:p w:rsidR="0067451F" w:rsidRDefault="0067451F">
      <w:pPr>
        <w:jc w:val="both"/>
        <w:rPr>
          <w:lang w:val="en-US"/>
        </w:rPr>
      </w:pPr>
    </w:p>
    <w:p w:rsidR="008D2FA7" w:rsidRPr="007413B6" w:rsidRDefault="008D2FA7" w:rsidP="007413B6">
      <w:pPr>
        <w:spacing w:after="0" w:line="240" w:lineRule="auto"/>
        <w:jc w:val="both"/>
        <w:rPr>
          <w:b/>
          <w:lang w:val="en-US"/>
        </w:rPr>
      </w:pPr>
      <w:r w:rsidRPr="007413B6">
        <w:rPr>
          <w:b/>
          <w:lang w:val="en-US"/>
        </w:rPr>
        <w:t>Faisal Bin Sultan Bin Salem Al Qassimi</w:t>
      </w:r>
    </w:p>
    <w:p w:rsidR="008D2FA7" w:rsidRDefault="008D2FA7" w:rsidP="007413B6">
      <w:pPr>
        <w:spacing w:after="0" w:line="240" w:lineRule="auto"/>
        <w:jc w:val="both"/>
        <w:rPr>
          <w:lang w:val="en-US"/>
        </w:rPr>
      </w:pPr>
      <w:r>
        <w:rPr>
          <w:lang w:val="en-US"/>
        </w:rPr>
        <w:t xml:space="preserve">Chairman </w:t>
      </w:r>
    </w:p>
    <w:sectPr w:rsidR="008D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E8"/>
    <w:rsid w:val="0000004E"/>
    <w:rsid w:val="00040161"/>
    <w:rsid w:val="00064E2D"/>
    <w:rsid w:val="001406FA"/>
    <w:rsid w:val="001973A2"/>
    <w:rsid w:val="001E063C"/>
    <w:rsid w:val="00230650"/>
    <w:rsid w:val="0028792A"/>
    <w:rsid w:val="00290D79"/>
    <w:rsid w:val="002E0A09"/>
    <w:rsid w:val="0040487C"/>
    <w:rsid w:val="004822E1"/>
    <w:rsid w:val="004A5F03"/>
    <w:rsid w:val="005019E8"/>
    <w:rsid w:val="005250C0"/>
    <w:rsid w:val="0067451F"/>
    <w:rsid w:val="006863AB"/>
    <w:rsid w:val="006C4BDA"/>
    <w:rsid w:val="006E75BC"/>
    <w:rsid w:val="00704EDD"/>
    <w:rsid w:val="007413B6"/>
    <w:rsid w:val="00770DCE"/>
    <w:rsid w:val="007B3FDF"/>
    <w:rsid w:val="008B3FA8"/>
    <w:rsid w:val="008D2FA7"/>
    <w:rsid w:val="008F258E"/>
    <w:rsid w:val="009277A8"/>
    <w:rsid w:val="00A16DB2"/>
    <w:rsid w:val="00AD0A6E"/>
    <w:rsid w:val="00AE5F8B"/>
    <w:rsid w:val="00AF10FF"/>
    <w:rsid w:val="00B42E07"/>
    <w:rsid w:val="00BA3758"/>
    <w:rsid w:val="00BF262A"/>
    <w:rsid w:val="00C50034"/>
    <w:rsid w:val="00C96264"/>
    <w:rsid w:val="00DD622D"/>
    <w:rsid w:val="00DD7629"/>
    <w:rsid w:val="00E07592"/>
    <w:rsid w:val="00E844B2"/>
    <w:rsid w:val="00E942A8"/>
    <w:rsid w:val="00F01EBA"/>
    <w:rsid w:val="00F7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A8CC1-61DE-4721-AD41-82C376A5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650"/>
    <w:rPr>
      <w:rFonts w:ascii="Segoe UI" w:hAnsi="Segoe UI" w:cs="Segoe UI"/>
      <w:sz w:val="18"/>
      <w:szCs w:val="18"/>
      <w:lang w:val="en-GB"/>
    </w:rPr>
  </w:style>
  <w:style w:type="paragraph" w:styleId="Revision">
    <w:name w:val="Revision"/>
    <w:hidden/>
    <w:uiPriority w:val="99"/>
    <w:semiHidden/>
    <w:rsid w:val="00E0759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52558">
      <w:bodyDiv w:val="1"/>
      <w:marLeft w:val="0"/>
      <w:marRight w:val="0"/>
      <w:marTop w:val="0"/>
      <w:marBottom w:val="0"/>
      <w:divBdr>
        <w:top w:val="none" w:sz="0" w:space="0" w:color="auto"/>
        <w:left w:val="none" w:sz="0" w:space="0" w:color="auto"/>
        <w:bottom w:val="none" w:sz="0" w:space="0" w:color="auto"/>
        <w:right w:val="none" w:sz="0" w:space="0" w:color="auto"/>
      </w:divBdr>
    </w:div>
    <w:div w:id="18603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AbuHendi/Business Intelligence</dc:creator>
  <cp:keywords/>
  <dc:description/>
  <cp:lastModifiedBy>Roohi.Contractor/FINANCE</cp:lastModifiedBy>
  <cp:revision>33</cp:revision>
  <cp:lastPrinted>2020-02-20T07:08:00Z</cp:lastPrinted>
  <dcterms:created xsi:type="dcterms:W3CDTF">2020-02-19T10:49:00Z</dcterms:created>
  <dcterms:modified xsi:type="dcterms:W3CDTF">2020-02-25T12:57:00Z</dcterms:modified>
</cp:coreProperties>
</file>